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7B8" w:rsidRDefault="00EC47B8" w:rsidP="00EC47B8">
      <w:pPr>
        <w:spacing w:line="480" w:lineRule="auto"/>
        <w:jc w:val="center"/>
        <w:rPr>
          <w:b/>
        </w:rPr>
      </w:pPr>
    </w:p>
    <w:p w:rsidR="00EC47B8" w:rsidRDefault="00EC47B8" w:rsidP="00EC47B8">
      <w:pPr>
        <w:spacing w:line="480" w:lineRule="auto"/>
        <w:jc w:val="center"/>
        <w:rPr>
          <w:b/>
        </w:rPr>
      </w:pPr>
    </w:p>
    <w:p w:rsidR="00EC47B8" w:rsidRDefault="00EC47B8" w:rsidP="00EC47B8">
      <w:pPr>
        <w:spacing w:line="480" w:lineRule="auto"/>
        <w:jc w:val="center"/>
        <w:rPr>
          <w:b/>
        </w:rPr>
      </w:pPr>
    </w:p>
    <w:p w:rsidR="00EC47B8" w:rsidRDefault="00EC47B8" w:rsidP="00EC47B8">
      <w:pPr>
        <w:spacing w:line="480" w:lineRule="auto"/>
        <w:jc w:val="center"/>
        <w:rPr>
          <w:b/>
        </w:rPr>
      </w:pPr>
    </w:p>
    <w:p w:rsidR="00EC47B8" w:rsidRDefault="00EC47B8" w:rsidP="00EC47B8">
      <w:pPr>
        <w:spacing w:line="480" w:lineRule="auto"/>
        <w:jc w:val="center"/>
        <w:rPr>
          <w:b/>
        </w:rPr>
      </w:pPr>
    </w:p>
    <w:p w:rsidR="00EC47B8" w:rsidRDefault="00EC47B8" w:rsidP="00EC47B8">
      <w:pPr>
        <w:spacing w:line="480" w:lineRule="auto"/>
        <w:jc w:val="center"/>
        <w:rPr>
          <w:b/>
        </w:rPr>
      </w:pPr>
    </w:p>
    <w:p w:rsidR="00EC47B8" w:rsidRDefault="00EC47B8" w:rsidP="00EC47B8">
      <w:pPr>
        <w:spacing w:line="480" w:lineRule="auto"/>
        <w:jc w:val="center"/>
        <w:rPr>
          <w:b/>
        </w:rPr>
      </w:pPr>
    </w:p>
    <w:p w:rsidR="00EC47B8" w:rsidRDefault="00EC47B8" w:rsidP="00EC47B8">
      <w:pPr>
        <w:spacing w:line="480" w:lineRule="auto"/>
        <w:jc w:val="center"/>
        <w:rPr>
          <w:b/>
        </w:rPr>
      </w:pPr>
    </w:p>
    <w:p w:rsidR="00EC47B8" w:rsidRPr="00C00F93" w:rsidRDefault="003B6053" w:rsidP="00EC47B8">
      <w:pPr>
        <w:spacing w:line="480" w:lineRule="auto"/>
        <w:jc w:val="center"/>
        <w:rPr>
          <w:b/>
        </w:rPr>
      </w:pPr>
      <w:r>
        <w:rPr>
          <w:b/>
        </w:rPr>
        <w:t xml:space="preserve">Chapter 1 Analysis </w:t>
      </w:r>
    </w:p>
    <w:p w:rsidR="00EC47B8" w:rsidRDefault="00EC47B8" w:rsidP="00EC47B8">
      <w:pPr>
        <w:spacing w:line="480" w:lineRule="auto"/>
        <w:jc w:val="center"/>
      </w:pPr>
      <w:r>
        <w:t>Name</w:t>
      </w:r>
    </w:p>
    <w:p w:rsidR="00EC47B8" w:rsidRDefault="00EC47B8" w:rsidP="00EC47B8">
      <w:pPr>
        <w:spacing w:line="480" w:lineRule="auto"/>
        <w:jc w:val="center"/>
      </w:pPr>
      <w:r>
        <w:t>Institution</w:t>
      </w:r>
    </w:p>
    <w:p w:rsidR="00EC47B8" w:rsidRDefault="00EC47B8" w:rsidP="00EC47B8">
      <w:pPr>
        <w:spacing w:line="480" w:lineRule="auto"/>
        <w:jc w:val="center"/>
      </w:pPr>
      <w:r>
        <w:t>Date</w:t>
      </w:r>
    </w:p>
    <w:p w:rsidR="00EC47B8" w:rsidRDefault="00EC47B8" w:rsidP="00C00F93">
      <w:pPr>
        <w:jc w:val="center"/>
      </w:pPr>
    </w:p>
    <w:p w:rsidR="00EC47B8" w:rsidRDefault="00EC47B8" w:rsidP="00C00F93">
      <w:pPr>
        <w:jc w:val="center"/>
      </w:pPr>
    </w:p>
    <w:p w:rsidR="00EC47B8" w:rsidRDefault="00EC47B8" w:rsidP="00C00F93">
      <w:pPr>
        <w:jc w:val="center"/>
      </w:pPr>
    </w:p>
    <w:p w:rsidR="00EC47B8" w:rsidRDefault="00EC47B8" w:rsidP="00C00F93">
      <w:pPr>
        <w:jc w:val="center"/>
      </w:pPr>
    </w:p>
    <w:p w:rsidR="00EC47B8" w:rsidRDefault="00EC47B8" w:rsidP="00C00F93">
      <w:pPr>
        <w:jc w:val="center"/>
      </w:pPr>
    </w:p>
    <w:p w:rsidR="00EC47B8" w:rsidRDefault="00EC47B8" w:rsidP="00C00F93">
      <w:pPr>
        <w:jc w:val="center"/>
      </w:pPr>
    </w:p>
    <w:p w:rsidR="00EC47B8" w:rsidRDefault="00EC47B8" w:rsidP="00C00F93">
      <w:pPr>
        <w:jc w:val="center"/>
      </w:pPr>
    </w:p>
    <w:p w:rsidR="00EC47B8" w:rsidRDefault="00EC47B8" w:rsidP="00C00F93">
      <w:pPr>
        <w:jc w:val="center"/>
      </w:pPr>
    </w:p>
    <w:p w:rsidR="00EC47B8" w:rsidRPr="00EC47B8" w:rsidRDefault="00EC47B8" w:rsidP="00C00F93">
      <w:pPr>
        <w:jc w:val="center"/>
      </w:pPr>
    </w:p>
    <w:p w:rsidR="00EC47B8" w:rsidRDefault="00EC47B8" w:rsidP="00C00F93">
      <w:pPr>
        <w:jc w:val="center"/>
        <w:rPr>
          <w:b/>
        </w:rPr>
      </w:pPr>
    </w:p>
    <w:p w:rsidR="003B6053" w:rsidRDefault="003B6053" w:rsidP="003B6053">
      <w:pPr>
        <w:spacing w:line="480" w:lineRule="auto"/>
        <w:jc w:val="center"/>
        <w:rPr>
          <w:b/>
        </w:rPr>
      </w:pPr>
      <w:r>
        <w:rPr>
          <w:b/>
        </w:rPr>
        <w:lastRenderedPageBreak/>
        <w:t xml:space="preserve">Chapter 1 Analysis </w:t>
      </w:r>
      <w:bookmarkStart w:id="0" w:name="_GoBack"/>
      <w:bookmarkEnd w:id="0"/>
    </w:p>
    <w:p w:rsidR="00C00F93" w:rsidRPr="00C00F93" w:rsidRDefault="00C00F93" w:rsidP="00C00F93">
      <w:pPr>
        <w:jc w:val="center"/>
        <w:rPr>
          <w:b/>
        </w:rPr>
      </w:pPr>
      <w:r w:rsidRPr="00C00F93">
        <w:rPr>
          <w:b/>
        </w:rPr>
        <w:t>Child Poverty</w:t>
      </w:r>
    </w:p>
    <w:p w:rsidR="00C00F93" w:rsidRPr="001B5F16" w:rsidRDefault="001B5F16" w:rsidP="001B5F16">
      <w:pPr>
        <w:spacing w:line="480" w:lineRule="auto"/>
        <w:ind w:firstLine="720"/>
        <w:rPr>
          <w:color w:val="222222"/>
          <w:szCs w:val="24"/>
          <w:shd w:val="clear" w:color="auto" w:fill="FFFFFF"/>
        </w:rPr>
      </w:pPr>
      <w:r>
        <w:t xml:space="preserve">In reference to chapter 1 of </w:t>
      </w:r>
      <w:r w:rsidRPr="00C00F93">
        <w:rPr>
          <w:i/>
          <w:iCs/>
          <w:color w:val="222222"/>
          <w:szCs w:val="24"/>
          <w:shd w:val="clear" w:color="auto" w:fill="FFFFFF"/>
        </w:rPr>
        <w:t>Juvenile delinquency</w:t>
      </w:r>
      <w:r w:rsidR="005470A8">
        <w:rPr>
          <w:i/>
          <w:iCs/>
          <w:color w:val="222222"/>
          <w:szCs w:val="24"/>
          <w:shd w:val="clear" w:color="auto" w:fill="FFFFFF"/>
        </w:rPr>
        <w:t xml:space="preserve"> text, </w:t>
      </w:r>
      <w:r>
        <w:rPr>
          <w:iCs/>
          <w:color w:val="222222"/>
          <w:szCs w:val="24"/>
          <w:shd w:val="clear" w:color="auto" w:fill="FFFFFF"/>
        </w:rPr>
        <w:t>it is evident that p</w:t>
      </w:r>
      <w:r w:rsidR="00C00F93">
        <w:t>overty</w:t>
      </w:r>
      <w:r w:rsidR="005470A8">
        <w:t xml:space="preserve"> </w:t>
      </w:r>
      <w:r w:rsidR="00C00F93">
        <w:t>remains to be one of the biggest threats to the well-being of children. Studies have shown that children remain to be the poorest population group in the United States. Nearly every one in six children is living in poverty</w:t>
      </w:r>
      <w:r w:rsidR="00265517">
        <w:t>(</w:t>
      </w:r>
      <w:r w:rsidR="00265517">
        <w:rPr>
          <w:color w:val="222222"/>
          <w:szCs w:val="24"/>
          <w:shd w:val="clear" w:color="auto" w:fill="FFFFFF"/>
        </w:rPr>
        <w:t xml:space="preserve">Coomber, </w:t>
      </w:r>
      <w:r w:rsidR="00265517" w:rsidRPr="00C00F93">
        <w:rPr>
          <w:color w:val="222222"/>
          <w:szCs w:val="24"/>
          <w:shd w:val="clear" w:color="auto" w:fill="FFFFFF"/>
        </w:rPr>
        <w:t>2018)</w:t>
      </w:r>
      <w:r w:rsidR="00FD1D10" w:rsidRPr="00C00F93">
        <w:rPr>
          <w:color w:val="222222"/>
          <w:szCs w:val="24"/>
          <w:shd w:val="clear" w:color="auto" w:fill="FFFFFF"/>
        </w:rPr>
        <w:t>.</w:t>
      </w:r>
      <w:r w:rsidR="00C00F93">
        <w:t xml:space="preserve"> This translates to an estimate of 11.9 million </w:t>
      </w:r>
      <w:r w:rsidR="00BF2695">
        <w:t xml:space="preserve">of </w:t>
      </w:r>
      <w:r w:rsidR="00C00F93">
        <w:t>children</w:t>
      </w:r>
      <w:r w:rsidR="00BF2695">
        <w:t xml:space="preserve"> living in poverty at</w:t>
      </w:r>
      <w:r w:rsidR="00C00F93">
        <w:t xml:space="preserve"> the percentage of 16 percent, which is one and half times higher than the percentage of adults between the age of 18-64 and two times higher than the adults above the age of 65</w:t>
      </w:r>
      <w:r w:rsidR="00FD1D10">
        <w:t xml:space="preserve"> (</w:t>
      </w:r>
      <w:r w:rsidR="00FD1D10">
        <w:rPr>
          <w:color w:val="222222"/>
          <w:szCs w:val="24"/>
          <w:shd w:val="clear" w:color="auto" w:fill="FFFFFF"/>
        </w:rPr>
        <w:t xml:space="preserve">Coomber, </w:t>
      </w:r>
      <w:r w:rsidR="00FD1D10" w:rsidRPr="00C00F93">
        <w:rPr>
          <w:color w:val="222222"/>
          <w:szCs w:val="24"/>
          <w:shd w:val="clear" w:color="auto" w:fill="FFFFFF"/>
        </w:rPr>
        <w:t>2018).</w:t>
      </w:r>
      <w:r w:rsidR="00C00F93">
        <w:t xml:space="preserve"> This discussion aims to discuss the characteristics of </w:t>
      </w:r>
      <w:r w:rsidR="00363179">
        <w:t xml:space="preserve">young </w:t>
      </w:r>
      <w:r w:rsidR="00C00F93">
        <w:t>children living in poverty, the effects of living in poverty circumstances, and actions being taken to curb child poverty.</w:t>
      </w:r>
    </w:p>
    <w:p w:rsidR="00C00F93" w:rsidRDefault="00C00F93" w:rsidP="00C00F93">
      <w:pPr>
        <w:spacing w:line="480" w:lineRule="auto"/>
        <w:ind w:firstLine="720"/>
      </w:pPr>
      <w:r>
        <w:t xml:space="preserve">The characteristic of children living in poverty is derived from </w:t>
      </w:r>
      <w:r w:rsidR="00265517">
        <w:t xml:space="preserve">different circumstances. Based on </w:t>
      </w:r>
      <w:r w:rsidR="005470A8">
        <w:t xml:space="preserve">the </w:t>
      </w:r>
      <w:r w:rsidR="00265517" w:rsidRPr="00C00F93">
        <w:rPr>
          <w:i/>
          <w:iCs/>
          <w:color w:val="222222"/>
          <w:szCs w:val="24"/>
          <w:shd w:val="clear" w:color="auto" w:fill="FFFFFF"/>
        </w:rPr>
        <w:t>Juvenile delinquency</w:t>
      </w:r>
      <w:r w:rsidR="005470A8">
        <w:rPr>
          <w:i/>
          <w:iCs/>
          <w:color w:val="222222"/>
          <w:szCs w:val="24"/>
          <w:shd w:val="clear" w:color="auto" w:fill="FFFFFF"/>
        </w:rPr>
        <w:t xml:space="preserve"> </w:t>
      </w:r>
      <w:r w:rsidR="005470A8" w:rsidRPr="005470A8">
        <w:rPr>
          <w:iCs/>
          <w:color w:val="222222"/>
          <w:szCs w:val="24"/>
          <w:shd w:val="clear" w:color="auto" w:fill="FFFFFF"/>
        </w:rPr>
        <w:t>text</w:t>
      </w:r>
      <w:r w:rsidRPr="005470A8">
        <w:t>,</w:t>
      </w:r>
      <w:r>
        <w:t xml:space="preserve"> the government has identified persons living in poverty as those living in a household where the disposable income is way below a certain percentage of the viewed average household income. </w:t>
      </w:r>
      <w:r w:rsidR="001B5F16">
        <w:t xml:space="preserve">According to </w:t>
      </w:r>
      <w:r w:rsidR="001B5F16" w:rsidRPr="00C00F93">
        <w:rPr>
          <w:color w:val="222222"/>
          <w:szCs w:val="24"/>
          <w:shd w:val="clear" w:color="auto" w:fill="FFFFFF"/>
        </w:rPr>
        <w:t>Siege</w:t>
      </w:r>
      <w:r w:rsidR="001B5F16">
        <w:rPr>
          <w:color w:val="222222"/>
          <w:szCs w:val="24"/>
          <w:shd w:val="clear" w:color="auto" w:fill="FFFFFF"/>
        </w:rPr>
        <w:t>l &amp; Welsh (2014),</w:t>
      </w:r>
      <w:r>
        <w:t xml:space="preserve"> several economic</w:t>
      </w:r>
      <w:r w:rsidR="00BF2695">
        <w:t>,</w:t>
      </w:r>
      <w:r>
        <w:t xml:space="preserve"> demographic and social factors affect the possibility of children experiencing poverty. Children from workless families, lone-parent households, and ethnic minority groups are at a higher risk of income poverty than those in other groups. Research has shown that children who live with both their parents have only a 3% risk of poverty where both parents are working</w:t>
      </w:r>
      <w:r w:rsidR="00265517">
        <w:t xml:space="preserve"> (</w:t>
      </w:r>
      <w:r w:rsidR="00265517">
        <w:rPr>
          <w:color w:val="222222"/>
          <w:szCs w:val="24"/>
          <w:shd w:val="clear" w:color="auto" w:fill="FFFFFF"/>
        </w:rPr>
        <w:t xml:space="preserve">Coomber, </w:t>
      </w:r>
      <w:r w:rsidR="00265517" w:rsidRPr="00C00F93">
        <w:rPr>
          <w:color w:val="222222"/>
          <w:szCs w:val="24"/>
          <w:shd w:val="clear" w:color="auto" w:fill="FFFFFF"/>
        </w:rPr>
        <w:t>2018)</w:t>
      </w:r>
      <w:r>
        <w:t>. However, if the parents are not working, the risk of living in poverty rises to about 74%</w:t>
      </w:r>
      <w:r w:rsidR="00265517">
        <w:t xml:space="preserve"> (</w:t>
      </w:r>
      <w:r w:rsidR="00265517">
        <w:rPr>
          <w:color w:val="222222"/>
          <w:szCs w:val="24"/>
          <w:shd w:val="clear" w:color="auto" w:fill="FFFFFF"/>
        </w:rPr>
        <w:t xml:space="preserve">Coomber, </w:t>
      </w:r>
      <w:r w:rsidR="00265517" w:rsidRPr="00C00F93">
        <w:rPr>
          <w:color w:val="222222"/>
          <w:szCs w:val="24"/>
          <w:shd w:val="clear" w:color="auto" w:fill="FFFFFF"/>
        </w:rPr>
        <w:t>2018)</w:t>
      </w:r>
      <w:r>
        <w:t xml:space="preserve">. Children living with a disability or those living with parents living with a disability are also at a higher risk of experiencing poverty. </w:t>
      </w:r>
      <w:r w:rsidR="00265517" w:rsidRPr="00155BF2">
        <w:rPr>
          <w:color w:val="000000"/>
        </w:rPr>
        <w:t>Leviticus 19:15</w:t>
      </w:r>
      <w:r w:rsidR="00265517">
        <w:rPr>
          <w:color w:val="000000"/>
        </w:rPr>
        <w:t xml:space="preserve">, </w:t>
      </w:r>
      <w:r w:rsidR="001F535C" w:rsidRPr="001F535C">
        <w:t xml:space="preserve">states that </w:t>
      </w:r>
      <w:r w:rsidR="001F535C" w:rsidRPr="001F535C">
        <w:rPr>
          <w:color w:val="000000"/>
        </w:rPr>
        <w:t xml:space="preserve">"Do not pervert justice; do not show partiality to the poor or favoritism to the great, but judge your </w:t>
      </w:r>
      <w:r w:rsidR="001F535C" w:rsidRPr="001F535C">
        <w:rPr>
          <w:color w:val="000000"/>
        </w:rPr>
        <w:lastRenderedPageBreak/>
        <w:t>neighbor fairly</w:t>
      </w:r>
      <w:r w:rsidR="001F535C">
        <w:rPr>
          <w:color w:val="000000"/>
        </w:rPr>
        <w:t xml:space="preserve">” </w:t>
      </w:r>
      <w:r w:rsidR="00265517" w:rsidRPr="00265517">
        <w:t>(</w:t>
      </w:r>
      <w:r w:rsidR="00265517" w:rsidRPr="00265517">
        <w:rPr>
          <w:rStyle w:val="Emphasis"/>
          <w:shd w:val="clear" w:color="auto" w:fill="FFFFFF"/>
        </w:rPr>
        <w:t>King James Bible</w:t>
      </w:r>
      <w:r w:rsidR="00265517" w:rsidRPr="00265517">
        <w:rPr>
          <w:shd w:val="clear" w:color="auto" w:fill="FFFFFF"/>
        </w:rPr>
        <w:t>, 2017)</w:t>
      </w:r>
      <w:r w:rsidR="00155BF2" w:rsidRPr="00265517">
        <w:rPr>
          <w:szCs w:val="24"/>
          <w:shd w:val="clear" w:color="auto" w:fill="FFFFFF"/>
        </w:rPr>
        <w:t xml:space="preserve">. </w:t>
      </w:r>
      <w:r w:rsidR="001F535C">
        <w:t>However</w:t>
      </w:r>
      <w:r>
        <w:t>, living in unsuitable housing and being excluded from community and public services can also characterize</w:t>
      </w:r>
      <w:r w:rsidR="00363179">
        <w:t xml:space="preserve"> poverty </w:t>
      </w:r>
      <w:r w:rsidR="00BF2695">
        <w:t xml:space="preserve">living </w:t>
      </w:r>
      <w:r w:rsidR="00363179">
        <w:t>for children.</w:t>
      </w:r>
    </w:p>
    <w:p w:rsidR="00C00F93" w:rsidRDefault="00C00F93" w:rsidP="00C00F93">
      <w:pPr>
        <w:spacing w:line="480" w:lineRule="auto"/>
        <w:ind w:firstLine="720"/>
      </w:pPr>
      <w:r>
        <w:t xml:space="preserve">Therefore, children </w:t>
      </w:r>
      <w:r w:rsidR="00363179">
        <w:t>brought up</w:t>
      </w:r>
      <w:r>
        <w:t xml:space="preserve"> in poverty </w:t>
      </w:r>
      <w:r w:rsidR="00363179">
        <w:t>face a higher</w:t>
      </w:r>
      <w:r>
        <w:t xml:space="preserve"> risk of being affected in terms of education and health. </w:t>
      </w:r>
      <w:r w:rsidR="001B5F16">
        <w:t>Based on</w:t>
      </w:r>
      <w:r w:rsidR="00795640">
        <w:t xml:space="preserve"> the</w:t>
      </w:r>
      <w:r w:rsidR="001B5F16">
        <w:t xml:space="preserve"> </w:t>
      </w:r>
      <w:r w:rsidR="001B5F16" w:rsidRPr="00C00F93">
        <w:rPr>
          <w:i/>
          <w:iCs/>
          <w:color w:val="222222"/>
          <w:szCs w:val="24"/>
          <w:shd w:val="clear" w:color="auto" w:fill="FFFFFF"/>
        </w:rPr>
        <w:t>Juvenile delinquen</w:t>
      </w:r>
      <w:r w:rsidR="00795640">
        <w:rPr>
          <w:i/>
          <w:iCs/>
          <w:color w:val="222222"/>
          <w:szCs w:val="24"/>
          <w:shd w:val="clear" w:color="auto" w:fill="FFFFFF"/>
        </w:rPr>
        <w:t xml:space="preserve">cy </w:t>
      </w:r>
      <w:r w:rsidR="00795640" w:rsidRPr="00795640">
        <w:rPr>
          <w:iCs/>
          <w:color w:val="222222"/>
          <w:szCs w:val="24"/>
          <w:shd w:val="clear" w:color="auto" w:fill="FFFFFF"/>
        </w:rPr>
        <w:t>text,</w:t>
      </w:r>
      <w:r w:rsidR="00795640">
        <w:rPr>
          <w:iCs/>
          <w:color w:val="222222"/>
          <w:szCs w:val="24"/>
          <w:shd w:val="clear" w:color="auto" w:fill="FFFFFF"/>
        </w:rPr>
        <w:t xml:space="preserve"> children</w:t>
      </w:r>
      <w:r w:rsidR="00795640">
        <w:rPr>
          <w:i/>
          <w:iCs/>
          <w:color w:val="222222"/>
          <w:szCs w:val="24"/>
          <w:shd w:val="clear" w:color="auto" w:fill="FFFFFF"/>
        </w:rPr>
        <w:t xml:space="preserve"> </w:t>
      </w:r>
      <w:r>
        <w:t xml:space="preserve"> brought up in low-income households </w:t>
      </w:r>
      <w:r w:rsidR="00363179">
        <w:t xml:space="preserve">face the </w:t>
      </w:r>
      <w:r>
        <w:t>risk of having poor health than their counterparts who live in an average income household. They are at a higher risk of becoming teenage fathers and mothers or engage in criminal behaviors</w:t>
      </w:r>
      <w:r w:rsidR="00FD1D10">
        <w:t xml:space="preserve"> (</w:t>
      </w:r>
      <w:r w:rsidR="00FD1D10" w:rsidRPr="00C00F93">
        <w:rPr>
          <w:color w:val="222222"/>
          <w:szCs w:val="24"/>
          <w:shd w:val="clear" w:color="auto" w:fill="FFFFFF"/>
        </w:rPr>
        <w:t>Siege</w:t>
      </w:r>
      <w:r w:rsidR="00FD1D10">
        <w:rPr>
          <w:color w:val="222222"/>
          <w:szCs w:val="24"/>
          <w:shd w:val="clear" w:color="auto" w:fill="FFFFFF"/>
        </w:rPr>
        <w:t>l &amp; Welsh, 2014)</w:t>
      </w:r>
      <w:r>
        <w:t xml:space="preserve">. Additionally, they are at a higher risk of becoming unemployed when they become adults or become low wage earners because of the environment they were brought up in. Poverty comes as a demerit to most children because it exposes them to poor childhood development, poor diet resulting in poor health, and they face potential education disadvantage. </w:t>
      </w:r>
      <w:r w:rsidR="001B5F16" w:rsidRPr="00C00F93">
        <w:rPr>
          <w:color w:val="222222"/>
          <w:szCs w:val="24"/>
          <w:shd w:val="clear" w:color="auto" w:fill="FFFFFF"/>
        </w:rPr>
        <w:t>Siege</w:t>
      </w:r>
      <w:r w:rsidR="001B5F16">
        <w:rPr>
          <w:color w:val="222222"/>
          <w:szCs w:val="24"/>
          <w:shd w:val="clear" w:color="auto" w:fill="FFFFFF"/>
        </w:rPr>
        <w:t>l &amp; Welsh (2014)</w:t>
      </w:r>
      <w:r w:rsidR="001B5F16">
        <w:t>, stated that</w:t>
      </w:r>
      <w:r>
        <w:t>, children living in low-income households are at a higher risk of having mental health issues, leading to attempted suicide and self-harm. Also, children living in poverty are more likely to be exposed to child abuse and neglect</w:t>
      </w:r>
      <w:r w:rsidR="00FD1D10">
        <w:t xml:space="preserve"> (</w:t>
      </w:r>
      <w:r w:rsidR="00FD1D10" w:rsidRPr="00C00F93">
        <w:rPr>
          <w:color w:val="222222"/>
          <w:szCs w:val="24"/>
          <w:shd w:val="clear" w:color="auto" w:fill="FFFFFF"/>
        </w:rPr>
        <w:t>Siege</w:t>
      </w:r>
      <w:r w:rsidR="00FD1D10">
        <w:rPr>
          <w:color w:val="222222"/>
          <w:szCs w:val="24"/>
          <w:shd w:val="clear" w:color="auto" w:fill="FFFFFF"/>
        </w:rPr>
        <w:t>l &amp; Welsh, 2014)</w:t>
      </w:r>
      <w:r>
        <w:t xml:space="preserve">. </w:t>
      </w:r>
    </w:p>
    <w:p w:rsidR="00C00F93" w:rsidRDefault="00C00F93" w:rsidP="00C00F93">
      <w:pPr>
        <w:spacing w:line="480" w:lineRule="auto"/>
        <w:ind w:firstLine="720"/>
      </w:pPr>
      <w:r>
        <w:t xml:space="preserve">However, the government and organization are stepping up to try and curb child poverty. Notably, nonprofits have begun campaigns intending to promote children's development, more so the young children. </w:t>
      </w:r>
      <w:r w:rsidR="00265517">
        <w:t>Psalm 9:18 s</w:t>
      </w:r>
      <w:r w:rsidR="001F535C">
        <w:t xml:space="preserve">tates </w:t>
      </w:r>
      <w:r w:rsidR="00265517">
        <w:t xml:space="preserve">that </w:t>
      </w:r>
      <w:r w:rsidR="001F535C">
        <w:t>“</w:t>
      </w:r>
      <w:r w:rsidR="001F535C" w:rsidRPr="001F535C">
        <w:t>The wicked go down to the realm of the dead, all the nations that forget God. But God will never forget the needy; the hope of the afflicted will never perish</w:t>
      </w:r>
      <w:r w:rsidR="001F535C">
        <w:t>”</w:t>
      </w:r>
      <w:r w:rsidR="00265517" w:rsidRPr="00265517">
        <w:t>(</w:t>
      </w:r>
      <w:r w:rsidR="00265517" w:rsidRPr="00265517">
        <w:rPr>
          <w:rStyle w:val="Emphasis"/>
          <w:shd w:val="clear" w:color="auto" w:fill="FFFFFF"/>
        </w:rPr>
        <w:t>King James Bible</w:t>
      </w:r>
      <w:r w:rsidR="00265517" w:rsidRPr="00265517">
        <w:rPr>
          <w:shd w:val="clear" w:color="auto" w:fill="FFFFFF"/>
        </w:rPr>
        <w:t>, 2017)</w:t>
      </w:r>
      <w:r w:rsidR="00155BF2" w:rsidRPr="00265517">
        <w:rPr>
          <w:szCs w:val="24"/>
          <w:shd w:val="clear" w:color="auto" w:fill="FFFFFF"/>
        </w:rPr>
        <w:t xml:space="preserve">. </w:t>
      </w:r>
      <w:r w:rsidR="001F535C">
        <w:t xml:space="preserve">Therefore, God is also in the side of the children living with poverty. </w:t>
      </w:r>
      <w:r>
        <w:t>Education disadvantage is a major problem affecting children living in poverty; however, campaigns have been launched to create awareness on the importance of education and advocate for equal rights when it comes to education between children of different social classes</w:t>
      </w:r>
      <w:r w:rsidR="00FD1D10">
        <w:t xml:space="preserve"> (</w:t>
      </w:r>
      <w:r w:rsidR="00FD1D10" w:rsidRPr="00C00F93">
        <w:rPr>
          <w:color w:val="222222"/>
          <w:szCs w:val="24"/>
          <w:shd w:val="clear" w:color="auto" w:fill="FFFFFF"/>
        </w:rPr>
        <w:t>Pat</w:t>
      </w:r>
      <w:r w:rsidR="00FD1D10">
        <w:rPr>
          <w:color w:val="222222"/>
          <w:szCs w:val="24"/>
          <w:shd w:val="clear" w:color="auto" w:fill="FFFFFF"/>
        </w:rPr>
        <w:t xml:space="preserve">erson &amp; Gregory, </w:t>
      </w:r>
      <w:r w:rsidR="00FD1D10" w:rsidRPr="00C00F93">
        <w:rPr>
          <w:color w:val="222222"/>
          <w:szCs w:val="24"/>
          <w:shd w:val="clear" w:color="auto" w:fill="FFFFFF"/>
        </w:rPr>
        <w:t>2019)</w:t>
      </w:r>
      <w:r>
        <w:t xml:space="preserve">. The government has also developed an anti-poverty plan that aims </w:t>
      </w:r>
      <w:r>
        <w:lastRenderedPageBreak/>
        <w:t xml:space="preserve">to provide children center services that give children living in poverty the chance to access early education. Additionally, policies </w:t>
      </w:r>
      <w:r w:rsidR="00BF2695">
        <w:t xml:space="preserve">have been developed with the </w:t>
      </w:r>
      <w:r>
        <w:t>aim to increase the redistribution of funds to low-income households to help them meet their basic needs, hence promoting living conditions, health conditions, and improved childcare</w:t>
      </w:r>
      <w:r w:rsidR="00FD1D10">
        <w:t xml:space="preserve"> (</w:t>
      </w:r>
      <w:r w:rsidR="00FD1D10">
        <w:rPr>
          <w:color w:val="222222"/>
          <w:szCs w:val="24"/>
          <w:shd w:val="clear" w:color="auto" w:fill="FFFFFF"/>
        </w:rPr>
        <w:t xml:space="preserve">Coomber, </w:t>
      </w:r>
      <w:r w:rsidR="00FD1D10" w:rsidRPr="00C00F93">
        <w:rPr>
          <w:color w:val="222222"/>
          <w:szCs w:val="24"/>
          <w:shd w:val="clear" w:color="auto" w:fill="FFFFFF"/>
        </w:rPr>
        <w:t>2018)</w:t>
      </w:r>
      <w:r>
        <w:t>.</w:t>
      </w:r>
    </w:p>
    <w:p w:rsidR="009D7015" w:rsidRDefault="00C00F93" w:rsidP="00C00F93">
      <w:pPr>
        <w:spacing w:line="480" w:lineRule="auto"/>
        <w:ind w:firstLine="720"/>
      </w:pPr>
      <w:r>
        <w:t xml:space="preserve">Overall, child poverty has different characteristics which reflect on the circumstances in which children live in poverty. Children from workless families, lone-parent households, and ethnic minority groups are at a higher risk of income poverty than those in other groups. Hence, children brought up in low-income households </w:t>
      </w:r>
      <w:r w:rsidR="00363179">
        <w:t xml:space="preserve">face the risk of having </w:t>
      </w:r>
      <w:r>
        <w:t xml:space="preserve">poor health than their counterparts who live in an average income household. However, the situation can be </w:t>
      </w:r>
      <w:r w:rsidR="00833A76">
        <w:t xml:space="preserve">curbed with </w:t>
      </w:r>
      <w:r>
        <w:t xml:space="preserve">an intervention </w:t>
      </w:r>
      <w:r w:rsidR="00833A76">
        <w:t>from</w:t>
      </w:r>
      <w:r>
        <w:t xml:space="preserve"> nonprofits and government policies.</w:t>
      </w:r>
    </w:p>
    <w:p w:rsidR="00C00F93" w:rsidRDefault="00C00F93" w:rsidP="00C00F93">
      <w:pPr>
        <w:spacing w:line="480" w:lineRule="auto"/>
        <w:jc w:val="center"/>
        <w:rPr>
          <w:b/>
        </w:rPr>
      </w:pPr>
    </w:p>
    <w:p w:rsidR="00C00F93" w:rsidRDefault="00C00F93" w:rsidP="00C00F93">
      <w:pPr>
        <w:spacing w:line="480" w:lineRule="auto"/>
        <w:jc w:val="center"/>
        <w:rPr>
          <w:b/>
        </w:rPr>
      </w:pPr>
    </w:p>
    <w:p w:rsidR="00C00F93" w:rsidRDefault="00C00F93" w:rsidP="00C00F93">
      <w:pPr>
        <w:spacing w:line="480" w:lineRule="auto"/>
        <w:jc w:val="center"/>
        <w:rPr>
          <w:b/>
        </w:rPr>
      </w:pPr>
    </w:p>
    <w:p w:rsidR="00C00F93" w:rsidRDefault="00C00F93" w:rsidP="00C00F93">
      <w:pPr>
        <w:spacing w:line="480" w:lineRule="auto"/>
        <w:jc w:val="center"/>
        <w:rPr>
          <w:b/>
        </w:rPr>
      </w:pPr>
    </w:p>
    <w:p w:rsidR="00C00F93" w:rsidRDefault="00C00F93" w:rsidP="00C00F93">
      <w:pPr>
        <w:spacing w:line="480" w:lineRule="auto"/>
        <w:jc w:val="center"/>
        <w:rPr>
          <w:b/>
        </w:rPr>
      </w:pPr>
    </w:p>
    <w:p w:rsidR="00C00F93" w:rsidRDefault="00C00F93" w:rsidP="00155BF2">
      <w:pPr>
        <w:spacing w:line="480" w:lineRule="auto"/>
        <w:rPr>
          <w:b/>
        </w:rPr>
      </w:pPr>
    </w:p>
    <w:p w:rsidR="00155BF2" w:rsidRDefault="00155BF2" w:rsidP="00155BF2">
      <w:pPr>
        <w:spacing w:line="480" w:lineRule="auto"/>
        <w:rPr>
          <w:b/>
        </w:rPr>
      </w:pPr>
    </w:p>
    <w:p w:rsidR="00C00F93" w:rsidRDefault="00C00F93" w:rsidP="00C00F93">
      <w:pPr>
        <w:spacing w:line="480" w:lineRule="auto"/>
        <w:jc w:val="center"/>
        <w:rPr>
          <w:b/>
        </w:rPr>
      </w:pPr>
    </w:p>
    <w:p w:rsidR="00C00F93" w:rsidRDefault="00C00F93" w:rsidP="00C00F93">
      <w:pPr>
        <w:spacing w:line="480" w:lineRule="auto"/>
        <w:jc w:val="center"/>
        <w:rPr>
          <w:b/>
        </w:rPr>
      </w:pPr>
    </w:p>
    <w:p w:rsidR="00265517" w:rsidRDefault="00265517" w:rsidP="00C00F93">
      <w:pPr>
        <w:spacing w:line="480" w:lineRule="auto"/>
        <w:jc w:val="center"/>
        <w:rPr>
          <w:b/>
        </w:rPr>
      </w:pPr>
    </w:p>
    <w:p w:rsidR="00C00F93" w:rsidRPr="00C00F93" w:rsidRDefault="00C00F93" w:rsidP="00C00F93">
      <w:pPr>
        <w:spacing w:line="480" w:lineRule="auto"/>
        <w:jc w:val="center"/>
        <w:rPr>
          <w:b/>
        </w:rPr>
      </w:pPr>
      <w:r w:rsidRPr="00C00F93">
        <w:rPr>
          <w:b/>
        </w:rPr>
        <w:lastRenderedPageBreak/>
        <w:t>References</w:t>
      </w:r>
    </w:p>
    <w:p w:rsidR="00265517" w:rsidRPr="00265517" w:rsidRDefault="00265517" w:rsidP="00C00F93">
      <w:pPr>
        <w:spacing w:line="480" w:lineRule="auto"/>
        <w:ind w:left="720" w:hanging="720"/>
        <w:rPr>
          <w:color w:val="333333"/>
          <w:shd w:val="clear" w:color="auto" w:fill="FFFFFF"/>
        </w:rPr>
      </w:pPr>
      <w:r w:rsidRPr="00265517">
        <w:rPr>
          <w:rStyle w:val="Emphasis"/>
          <w:color w:val="333333"/>
          <w:shd w:val="clear" w:color="auto" w:fill="FFFFFF"/>
        </w:rPr>
        <w:t>King James Bible</w:t>
      </w:r>
      <w:r w:rsidRPr="00265517">
        <w:rPr>
          <w:color w:val="333333"/>
          <w:shd w:val="clear" w:color="auto" w:fill="FFFFFF"/>
        </w:rPr>
        <w:t>. (2017). King James Bible Online. https://www.kingjamesbibleonline.org (original work published 1769).</w:t>
      </w:r>
    </w:p>
    <w:p w:rsidR="00C00F93" w:rsidRDefault="00C00F93" w:rsidP="00C00F93">
      <w:pPr>
        <w:spacing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C00F93">
        <w:rPr>
          <w:color w:val="222222"/>
          <w:szCs w:val="24"/>
          <w:shd w:val="clear" w:color="auto" w:fill="FFFFFF"/>
        </w:rPr>
        <w:t>Paterson, L. L., &amp; Gregory, I. N. (2019). Defining and measuring poverty. In </w:t>
      </w:r>
      <w:r w:rsidRPr="00C00F93">
        <w:rPr>
          <w:i/>
          <w:iCs/>
          <w:color w:val="222222"/>
          <w:szCs w:val="24"/>
          <w:shd w:val="clear" w:color="auto" w:fill="FFFFFF"/>
        </w:rPr>
        <w:t>Representations of Poverty and Place</w:t>
      </w:r>
      <w:r w:rsidRPr="00C00F93">
        <w:rPr>
          <w:color w:val="222222"/>
          <w:szCs w:val="24"/>
          <w:shd w:val="clear" w:color="auto" w:fill="FFFFFF"/>
        </w:rPr>
        <w:t> (pp. 1-18). Palgrave Macmillan, Cham.</w:t>
      </w:r>
    </w:p>
    <w:p w:rsidR="00C00F93" w:rsidRDefault="00C00F93" w:rsidP="00C00F93">
      <w:pPr>
        <w:spacing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C00F93">
        <w:rPr>
          <w:color w:val="222222"/>
          <w:szCs w:val="24"/>
          <w:shd w:val="clear" w:color="auto" w:fill="FFFFFF"/>
        </w:rPr>
        <w:t>Siegel, L. J., &amp; Welsh, B. C. (2014). </w:t>
      </w:r>
      <w:r w:rsidRPr="00C00F93">
        <w:rPr>
          <w:i/>
          <w:iCs/>
          <w:color w:val="222222"/>
          <w:szCs w:val="24"/>
          <w:shd w:val="clear" w:color="auto" w:fill="FFFFFF"/>
        </w:rPr>
        <w:t>Juvenile delinquency: Theory, practice, and law</w:t>
      </w:r>
      <w:r w:rsidRPr="00C00F93">
        <w:rPr>
          <w:color w:val="222222"/>
          <w:szCs w:val="24"/>
          <w:shd w:val="clear" w:color="auto" w:fill="FFFFFF"/>
        </w:rPr>
        <w:t>. Cengage Learning.</w:t>
      </w:r>
    </w:p>
    <w:sectPr w:rsidR="00C00F93" w:rsidSect="006C024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571D" w:rsidRDefault="0062571D" w:rsidP="00C00F93">
      <w:pPr>
        <w:spacing w:after="0" w:line="240" w:lineRule="auto"/>
      </w:pPr>
      <w:r>
        <w:separator/>
      </w:r>
    </w:p>
  </w:endnote>
  <w:endnote w:type="continuationSeparator" w:id="1">
    <w:p w:rsidR="0062571D" w:rsidRDefault="0062571D" w:rsidP="00C00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571D" w:rsidRDefault="0062571D" w:rsidP="00C00F93">
      <w:pPr>
        <w:spacing w:after="0" w:line="240" w:lineRule="auto"/>
      </w:pPr>
      <w:r>
        <w:separator/>
      </w:r>
    </w:p>
  </w:footnote>
  <w:footnote w:type="continuationSeparator" w:id="1">
    <w:p w:rsidR="0062571D" w:rsidRDefault="0062571D" w:rsidP="00C00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F93" w:rsidRDefault="00C00F93">
    <w:pPr>
      <w:pStyle w:val="Header"/>
    </w:pPr>
    <w:r>
      <w:tab/>
    </w:r>
    <w:r>
      <w:tab/>
    </w:r>
    <w:r w:rsidR="001F1F60">
      <w:fldChar w:fldCharType="begin"/>
    </w:r>
    <w:r>
      <w:instrText xml:space="preserve"> PAGE   \* MERGEFORMAT </w:instrText>
    </w:r>
    <w:r w:rsidR="001F1F60">
      <w:fldChar w:fldCharType="separate"/>
    </w:r>
    <w:r w:rsidR="00795640">
      <w:rPr>
        <w:noProof/>
      </w:rPr>
      <w:t>3</w:t>
    </w:r>
    <w:r w:rsidR="001F1F60"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4483"/>
    <w:rsid w:val="00003A55"/>
    <w:rsid w:val="00014483"/>
    <w:rsid w:val="000B4B85"/>
    <w:rsid w:val="000C6E35"/>
    <w:rsid w:val="00155BF2"/>
    <w:rsid w:val="001B5F16"/>
    <w:rsid w:val="001F1F60"/>
    <w:rsid w:val="001F535C"/>
    <w:rsid w:val="00220AC8"/>
    <w:rsid w:val="00265517"/>
    <w:rsid w:val="002F4FAE"/>
    <w:rsid w:val="00363179"/>
    <w:rsid w:val="003B6053"/>
    <w:rsid w:val="005470A8"/>
    <w:rsid w:val="0062571D"/>
    <w:rsid w:val="006C0248"/>
    <w:rsid w:val="006C122E"/>
    <w:rsid w:val="00795640"/>
    <w:rsid w:val="007C27AD"/>
    <w:rsid w:val="007E65D1"/>
    <w:rsid w:val="00833A76"/>
    <w:rsid w:val="008670EC"/>
    <w:rsid w:val="00910512"/>
    <w:rsid w:val="009B3866"/>
    <w:rsid w:val="009D7015"/>
    <w:rsid w:val="00BF2695"/>
    <w:rsid w:val="00C00F93"/>
    <w:rsid w:val="00C3017C"/>
    <w:rsid w:val="00DC40C9"/>
    <w:rsid w:val="00EC47B8"/>
    <w:rsid w:val="00FD1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2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F93"/>
  </w:style>
  <w:style w:type="paragraph" w:styleId="Footer">
    <w:name w:val="footer"/>
    <w:basedOn w:val="Normal"/>
    <w:link w:val="FooterChar"/>
    <w:uiPriority w:val="99"/>
    <w:unhideWhenUsed/>
    <w:rsid w:val="00C00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F93"/>
  </w:style>
  <w:style w:type="character" w:styleId="Emphasis">
    <w:name w:val="Emphasis"/>
    <w:basedOn w:val="DefaultParagraphFont"/>
    <w:uiPriority w:val="20"/>
    <w:qFormat/>
    <w:rsid w:val="0026551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maundu</dc:creator>
  <cp:lastModifiedBy>Kevin</cp:lastModifiedBy>
  <cp:revision>2</cp:revision>
  <dcterms:created xsi:type="dcterms:W3CDTF">2020-10-27T04:37:00Z</dcterms:created>
  <dcterms:modified xsi:type="dcterms:W3CDTF">2020-10-27T04:37:00Z</dcterms:modified>
</cp:coreProperties>
</file>